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D342" w14:textId="6196445C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>PHẦN I – THỰC TRẠNG CHUNG VỀ HỢP TÁC XÃ/THÀNH VIÊN</w:t>
      </w:r>
    </w:p>
    <w:p w14:paraId="08F40805" w14:textId="19F08281" w:rsidR="008353C2" w:rsidRPr="0074591C" w:rsidRDefault="008353C2" w:rsidP="0074591C">
      <w:pPr>
        <w:spacing w:before="120" w:after="60" w:line="264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91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Đặc điểm của HTX và tác động đến chuyển đổi số</w:t>
      </w:r>
    </w:p>
    <w:p w14:paraId="627FFB29" w14:textId="054025BA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(HTX)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Nguyên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5D9953EC" w14:textId="380D9E7F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60%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38,6%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40%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ý,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18</w:t>
      </w:r>
      <w:r w:rsidRPr="0074591C">
        <w:rPr>
          <w:rFonts w:ascii="Times New Roman" w:hAnsi="Times New Roman" w:cs="Times New Roman"/>
          <w:sz w:val="28"/>
          <w:szCs w:val="28"/>
        </w:rPr>
        <w:t>.2</w:t>
      </w:r>
      <w:r w:rsidRPr="0074591C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song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3FC4E739" w14:textId="590D469F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60%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52%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47,7%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667C2FB2" w14:textId="08A2651A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93,2%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43,2%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6,8%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nay.</w:t>
      </w:r>
    </w:p>
    <w:p w14:paraId="0FFADFDD" w14:textId="31FE6CD8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77,3%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30%.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lastRenderedPageBreak/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HTX.</w:t>
      </w:r>
    </w:p>
    <w:p w14:paraId="6B710E82" w14:textId="1E941536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77,2%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22,7%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13,6%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nhuận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Các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0D34BB7D" w14:textId="1EC8F60D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13,6%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36,4%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23905E28" w14:textId="5F730350" w:rsidR="008353C2" w:rsidRPr="0074591C" w:rsidRDefault="008353C2" w:rsidP="0074591C">
      <w:pPr>
        <w:spacing w:before="120" w:after="60" w:line="264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91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Những khó khăn, thách thức trong hoạt động kinh doanh hiện tại của các HTX Việt Nam</w:t>
      </w:r>
    </w:p>
    <w:p w14:paraId="70556B4A" w14:textId="23F9070E" w:rsidR="008353C2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nay: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61,4%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(78%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(70%),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52%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50%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marketing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Quản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25%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22,7%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54EADFF1" w14:textId="1801F962" w:rsidR="00D831B9" w:rsidRPr="0074591C" w:rsidRDefault="008353C2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Việt Nam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HTX.</w:t>
      </w:r>
    </w:p>
    <w:p w14:paraId="2F1F4B7A" w14:textId="77777777" w:rsidR="00D01F18" w:rsidRPr="0074591C" w:rsidRDefault="00D01F18" w:rsidP="0074591C">
      <w:pPr>
        <w:spacing w:before="120" w:after="60" w:line="26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 w:eastAsia="en-GB"/>
          <w14:ligatures w14:val="none"/>
        </w:rPr>
      </w:pPr>
      <w:r w:rsidRPr="00745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 w:eastAsia="en-GB"/>
          <w14:ligatures w14:val="none"/>
        </w:rPr>
        <w:lastRenderedPageBreak/>
        <w:t>PHẦN II. KHOẢNG TRỐNG TRONG CHUYỂN ĐỔI SỐ VÀ SỰ THIẾU HỤT KỸ NĂNG CHUYỂN ĐỔI SỐ CỦA HTX VÀ THANH NIÊN TRONG HTX</w:t>
      </w:r>
    </w:p>
    <w:p w14:paraId="650D6B14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YOUCOOL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(CĐS)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(HTX) Việt Nam,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4ED1D626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Việt Nam</w:t>
      </w:r>
    </w:p>
    <w:p w14:paraId="6311619E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CĐS. Trong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(68,2%),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(63,6%),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(50%),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(50%),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(47,7%).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2CDAE73B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86%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70%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(LAN/WAN)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64E58D6F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Tài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83,3%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73,3%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66,7%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556FD4B5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81,8%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ERP, CRM, IoT hay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72,7%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68%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ý,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(22,7%)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3E40077C" w14:textId="213B31F1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lastRenderedPageBreak/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68,2% </w:t>
      </w:r>
      <w:r w:rsidR="00216C4C" w:rsidRPr="0074591C">
        <w:rPr>
          <w:rFonts w:ascii="Times New Roman" w:hAnsi="Times New Roman" w:cs="Times New Roman"/>
          <w:sz w:val="28"/>
          <w:szCs w:val="28"/>
          <w:lang w:val="vi-VN"/>
        </w:rPr>
        <w:t xml:space="preserve">nhân sự thiếu kỹ năng công nghệ thông tin cơ </w:t>
      </w:r>
      <w:proofErr w:type="spellStart"/>
      <w:r w:rsidR="00216C4C"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396BF0D2" w14:textId="2F921FD9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r w:rsidR="00216C4C" w:rsidRPr="0074591C">
        <w:rPr>
          <w:rFonts w:ascii="Times New Roman" w:hAnsi="Times New Roman" w:cs="Times New Roman"/>
          <w:sz w:val="28"/>
          <w:szCs w:val="28"/>
          <w:lang w:val="vi-VN"/>
        </w:rPr>
        <w:t>71.4%</w:t>
      </w:r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r w:rsidR="00216C4C" w:rsidRPr="0074591C">
        <w:rPr>
          <w:rFonts w:ascii="Times New Roman" w:hAnsi="Times New Roman" w:cs="Times New Roman"/>
          <w:sz w:val="28"/>
          <w:szCs w:val="28"/>
          <w:lang w:val="vi-VN"/>
        </w:rPr>
        <w:t>61.9%</w:t>
      </w:r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7D027AC8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Tuy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rệt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79,5%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75%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68,2%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75%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56,8%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632D4A55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2. Vai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</w:t>
      </w:r>
    </w:p>
    <w:p w14:paraId="5B898C7F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Thanh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81,4%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54%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50,4%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46,9%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46DFDA60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74,6%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CĐS, 63,2%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46,5%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27%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14C9607B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59,6%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46,5%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(ERP),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44,7%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AI, IoT, cloud computing. Các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online,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0C870CBA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37%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34,2%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32,3%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33FFFE55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lastRenderedPageBreak/>
        <w:t>Ngoài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37,7%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34,3%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27,2%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7ECCD6A5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CĐS, 34,2%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31,6%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582C497D" w14:textId="7C4BF6C1" w:rsidR="00216C4C" w:rsidRPr="00755B8B" w:rsidRDefault="00216C4C" w:rsidP="00755B8B">
      <w:pPr>
        <w:pStyle w:val="ThngthngWeb"/>
        <w:spacing w:before="120" w:beforeAutospacing="0" w:after="60" w:afterAutospacing="0" w:line="264" w:lineRule="auto"/>
        <w:jc w:val="both"/>
        <w:rPr>
          <w:sz w:val="28"/>
          <w:szCs w:val="28"/>
        </w:rPr>
      </w:pPr>
      <w:proofErr w:type="spellStart"/>
      <w:r w:rsidRPr="00755B8B">
        <w:rPr>
          <w:sz w:val="28"/>
          <w:szCs w:val="28"/>
        </w:rPr>
        <w:t>Nhìn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chung</w:t>
      </w:r>
      <w:proofErr w:type="spellEnd"/>
      <w:r w:rsidRPr="00755B8B">
        <w:rPr>
          <w:sz w:val="28"/>
          <w:szCs w:val="28"/>
        </w:rPr>
        <w:t xml:space="preserve">, </w:t>
      </w:r>
      <w:proofErr w:type="spellStart"/>
      <w:r w:rsidRPr="00755B8B">
        <w:rPr>
          <w:sz w:val="28"/>
          <w:szCs w:val="28"/>
        </w:rPr>
        <w:t>thanh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niên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trong</w:t>
      </w:r>
      <w:proofErr w:type="spellEnd"/>
      <w:r w:rsidRPr="00755B8B">
        <w:rPr>
          <w:sz w:val="28"/>
          <w:szCs w:val="28"/>
        </w:rPr>
        <w:t xml:space="preserve"> HTX Việt Nam </w:t>
      </w:r>
      <w:proofErr w:type="spellStart"/>
      <w:r w:rsidRPr="00755B8B">
        <w:rPr>
          <w:sz w:val="28"/>
          <w:szCs w:val="28"/>
        </w:rPr>
        <w:t>còn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nhiều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hạn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chế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trong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các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kỹ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năng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chuyển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đổi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số</w:t>
      </w:r>
      <w:proofErr w:type="spellEnd"/>
      <w:r w:rsidRPr="00755B8B">
        <w:rPr>
          <w:sz w:val="28"/>
          <w:szCs w:val="28"/>
        </w:rPr>
        <w:t xml:space="preserve">, </w:t>
      </w:r>
      <w:proofErr w:type="spellStart"/>
      <w:r w:rsidRPr="00755B8B">
        <w:rPr>
          <w:sz w:val="28"/>
          <w:szCs w:val="28"/>
        </w:rPr>
        <w:t>từ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ứng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dụng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công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nghệ</w:t>
      </w:r>
      <w:proofErr w:type="spellEnd"/>
      <w:r w:rsidRPr="00755B8B">
        <w:rPr>
          <w:sz w:val="28"/>
          <w:szCs w:val="28"/>
        </w:rPr>
        <w:t xml:space="preserve">, </w:t>
      </w:r>
      <w:proofErr w:type="spellStart"/>
      <w:r w:rsidRPr="00755B8B">
        <w:rPr>
          <w:sz w:val="28"/>
          <w:szCs w:val="28"/>
        </w:rPr>
        <w:t>phân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tích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dữ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liệu</w:t>
      </w:r>
      <w:proofErr w:type="spellEnd"/>
      <w:r w:rsidRPr="00755B8B">
        <w:rPr>
          <w:sz w:val="28"/>
          <w:szCs w:val="28"/>
        </w:rPr>
        <w:t xml:space="preserve">, </w:t>
      </w:r>
      <w:proofErr w:type="spellStart"/>
      <w:r w:rsidRPr="00755B8B">
        <w:rPr>
          <w:sz w:val="28"/>
          <w:szCs w:val="28"/>
        </w:rPr>
        <w:t>giao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tiếp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số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đến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triển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khai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số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hóa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trong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vận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hành</w:t>
      </w:r>
      <w:proofErr w:type="spellEnd"/>
      <w:r w:rsidRPr="00755B8B">
        <w:rPr>
          <w:sz w:val="28"/>
          <w:szCs w:val="28"/>
        </w:rPr>
        <w:t xml:space="preserve">. </w:t>
      </w:r>
      <w:proofErr w:type="spellStart"/>
      <w:r w:rsidRPr="00755B8B">
        <w:rPr>
          <w:sz w:val="28"/>
          <w:szCs w:val="28"/>
        </w:rPr>
        <w:t>Để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thúc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đẩy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sự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phát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triển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bền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vững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của</w:t>
      </w:r>
      <w:proofErr w:type="spellEnd"/>
      <w:r w:rsidRPr="00755B8B">
        <w:rPr>
          <w:sz w:val="28"/>
          <w:szCs w:val="28"/>
        </w:rPr>
        <w:t xml:space="preserve"> HTX </w:t>
      </w:r>
      <w:proofErr w:type="spellStart"/>
      <w:r w:rsidRPr="00755B8B">
        <w:rPr>
          <w:sz w:val="28"/>
          <w:szCs w:val="28"/>
        </w:rPr>
        <w:t>trong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nền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kinh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tế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số</w:t>
      </w:r>
      <w:proofErr w:type="spellEnd"/>
      <w:r w:rsidRPr="00755B8B">
        <w:rPr>
          <w:sz w:val="28"/>
          <w:szCs w:val="28"/>
        </w:rPr>
        <w:t xml:space="preserve">, </w:t>
      </w:r>
      <w:proofErr w:type="spellStart"/>
      <w:r w:rsidRPr="00755B8B">
        <w:rPr>
          <w:sz w:val="28"/>
          <w:szCs w:val="28"/>
        </w:rPr>
        <w:t>cần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đẩy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mạnh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đào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tạo</w:t>
      </w:r>
      <w:proofErr w:type="spellEnd"/>
      <w:r w:rsidRPr="00755B8B">
        <w:rPr>
          <w:sz w:val="28"/>
          <w:szCs w:val="28"/>
        </w:rPr>
        <w:t xml:space="preserve">, </w:t>
      </w:r>
      <w:proofErr w:type="spellStart"/>
      <w:r w:rsidRPr="00755B8B">
        <w:rPr>
          <w:sz w:val="28"/>
          <w:szCs w:val="28"/>
        </w:rPr>
        <w:t>hỗ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trợ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kỹ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thuật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và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nâng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cao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năng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lực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số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cho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thanh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niên</w:t>
      </w:r>
      <w:proofErr w:type="spellEnd"/>
      <w:r w:rsidRPr="00755B8B">
        <w:rPr>
          <w:sz w:val="28"/>
          <w:szCs w:val="28"/>
        </w:rPr>
        <w:t xml:space="preserve">, </w:t>
      </w:r>
      <w:proofErr w:type="spellStart"/>
      <w:r w:rsidRPr="00755B8B">
        <w:rPr>
          <w:sz w:val="28"/>
          <w:szCs w:val="28"/>
        </w:rPr>
        <w:t>giúp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họ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trở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thành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lực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lượng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tiên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phong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trong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quá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trình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chuyển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đổi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số</w:t>
      </w:r>
      <w:proofErr w:type="spellEnd"/>
      <w:r w:rsidRPr="00755B8B">
        <w:rPr>
          <w:sz w:val="28"/>
          <w:szCs w:val="28"/>
        </w:rPr>
        <w:t xml:space="preserve"> </w:t>
      </w:r>
      <w:proofErr w:type="spellStart"/>
      <w:r w:rsidRPr="00755B8B">
        <w:rPr>
          <w:sz w:val="28"/>
          <w:szCs w:val="28"/>
        </w:rPr>
        <w:t>của</w:t>
      </w:r>
      <w:proofErr w:type="spellEnd"/>
      <w:r w:rsidRPr="00755B8B">
        <w:rPr>
          <w:sz w:val="28"/>
          <w:szCs w:val="28"/>
        </w:rPr>
        <w:t xml:space="preserve"> HTX Việt Nam.</w:t>
      </w:r>
    </w:p>
    <w:p w14:paraId="13537AFE" w14:textId="77777777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3. Nhu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</w:t>
      </w:r>
    </w:p>
    <w:p w14:paraId="4353A55C" w14:textId="77777777" w:rsidR="00216C4C" w:rsidRPr="00216C4C" w:rsidRDefault="00216C4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216C4C">
        <w:rPr>
          <w:rFonts w:ascii="Times New Roman" w:hAnsi="Times New Roman" w:cs="Times New Roman"/>
          <w:sz w:val="28"/>
          <w:szCs w:val="28"/>
        </w:rPr>
        <w:t xml:space="preserve">Thanh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HTX Việt Nam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hụt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60%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47%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ERP,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44%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AI hay IoT.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37%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HTX (63,2%),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(57%),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(53,5%),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(44,7%)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16C4C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tin.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C4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16C4C">
        <w:rPr>
          <w:rFonts w:ascii="Times New Roman" w:hAnsi="Times New Roman" w:cs="Times New Roman"/>
          <w:sz w:val="28"/>
          <w:szCs w:val="28"/>
        </w:rPr>
        <w:t>.</w:t>
      </w:r>
    </w:p>
    <w:p w14:paraId="16747420" w14:textId="5D22CAA4" w:rsidR="00D01F18" w:rsidRPr="0074591C" w:rsidRDefault="00D01F18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25021767" w14:textId="77777777" w:rsidR="00A41399" w:rsidRPr="0074591C" w:rsidRDefault="00A41399" w:rsidP="0074591C">
      <w:pPr>
        <w:spacing w:before="120" w:after="60" w:line="264" w:lineRule="auto"/>
        <w:jc w:val="both"/>
        <w:outlineLvl w:val="0"/>
        <w:rPr>
          <w:rStyle w:val="Manh"/>
          <w:rFonts w:ascii="Times New Roman" w:hAnsi="Times New Roman" w:cs="Times New Roman"/>
          <w:sz w:val="28"/>
          <w:szCs w:val="28"/>
          <w:lang w:val="vi-VN"/>
        </w:rPr>
      </w:pPr>
      <w:r w:rsidRPr="0074591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PHẦN III - </w:t>
      </w:r>
      <w:r w:rsidRPr="0074591C">
        <w:rPr>
          <w:rStyle w:val="Manh"/>
          <w:rFonts w:ascii="Times New Roman" w:hAnsi="Times New Roman" w:cs="Times New Roman"/>
          <w:sz w:val="28"/>
          <w:szCs w:val="28"/>
          <w:lang w:val="vi-VN"/>
        </w:rPr>
        <w:t>KẾT LUẬN VÀ KIẾN NGHỊ</w:t>
      </w:r>
    </w:p>
    <w:p w14:paraId="416BDE6C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(HTX)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Việt </w:t>
      </w:r>
      <w:r w:rsidRPr="0074591C">
        <w:rPr>
          <w:rFonts w:ascii="Times New Roman" w:hAnsi="Times New Roman" w:cs="Times New Roman"/>
          <w:sz w:val="28"/>
          <w:szCs w:val="28"/>
        </w:rPr>
        <w:lastRenderedPageBreak/>
        <w:t xml:space="preserve">Nam,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nòng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6240ABDA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</w:t>
      </w:r>
    </w:p>
    <w:p w14:paraId="660DA322" w14:textId="04F2519B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do chi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3438407F" w14:textId="616F6618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CNTT, </w:t>
      </w:r>
      <w:proofErr w:type="spellStart"/>
      <w:r>
        <w:rPr>
          <w:rFonts w:ascii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internet</w:t>
      </w:r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6D0F0640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(ERP, CRM, IoT, Big Data),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746FB557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7C8CC09D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3EC64A89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</w:t>
      </w:r>
    </w:p>
    <w:p w14:paraId="75DB112B" w14:textId="77777777" w:rsid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Thanh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71ED684E" w14:textId="77777777" w:rsid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lastRenderedPageBreak/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Thanh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AI/Big Data,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0A5F7A9C" w14:textId="2A24BE60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qua Zoom/Teams</w:t>
      </w:r>
      <w:r>
        <w:rPr>
          <w:rFonts w:ascii="Times New Roman" w:hAnsi="Times New Roman" w:cs="Times New Roman"/>
          <w:sz w:val="28"/>
          <w:szCs w:val="28"/>
        </w:rPr>
        <w:t>/Google meet</w:t>
      </w:r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HTX,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mentoring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xa.</w:t>
      </w:r>
    </w:p>
    <w:p w14:paraId="0BEF56F1" w14:textId="0CEC833D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CĐS</w:t>
      </w:r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77E70BBA" w14:textId="07F76218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HTX,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75B9D6E7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thức</w:t>
      </w:r>
      <w:proofErr w:type="spellEnd"/>
    </w:p>
    <w:p w14:paraId="75765154" w14:textId="7777777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.</w:t>
      </w:r>
    </w:p>
    <w:p w14:paraId="6FF6D01E" w14:textId="77777777" w:rsid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>:</w:t>
      </w:r>
    </w:p>
    <w:p w14:paraId="36DB02E9" w14:textId="77777777" w:rsidR="002B493E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Quản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8ADAE" w14:textId="76B86954" w:rsid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liệu</w:t>
      </w:r>
      <w:proofErr w:type="spellEnd"/>
    </w:p>
    <w:p w14:paraId="2E74AF59" w14:textId="66B2732A" w:rsid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liệu</w:t>
      </w:r>
      <w:proofErr w:type="spellEnd"/>
    </w:p>
    <w:p w14:paraId="48DF0818" w14:textId="77777777" w:rsidR="002B493E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AI/Big Data </w:t>
      </w:r>
      <w:proofErr w:type="spellStart"/>
      <w:r w:rsidR="002B493E" w:rsidRPr="002B493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B493E" w:rsidRPr="002B493E">
        <w:rPr>
          <w:rFonts w:ascii="Times New Roman" w:hAnsi="Times New Roman" w:cs="Times New Roman"/>
          <w:sz w:val="28"/>
          <w:szCs w:val="28"/>
        </w:rPr>
        <w:t xml:space="preserve"> HTX</w:t>
      </w:r>
      <w:r w:rsidR="002B493E" w:rsidRPr="002B49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FB1E8" w14:textId="3E820DD8" w:rsidR="002B493E" w:rsidRDefault="002B493E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Số</w:t>
      </w:r>
      <w:proofErr w:type="spellEnd"/>
    </w:p>
    <w:p w14:paraId="6DA85E58" w14:textId="38AF5978" w:rsidR="002B493E" w:rsidRPr="002B493E" w:rsidRDefault="002B493E" w:rsidP="002B49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HTX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lastRenderedPageBreak/>
        <w:t>như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IoT, AI, Big Data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. Bảo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>.</w:t>
      </w:r>
    </w:p>
    <w:p w14:paraId="5BB3F151" w14:textId="55BC6D06" w:rsidR="002B493E" w:rsidRPr="002B493E" w:rsidRDefault="002B493E" w:rsidP="002B49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93E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HTX. Các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blockchain,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B493E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>.</w:t>
      </w:r>
    </w:p>
    <w:p w14:paraId="7916D572" w14:textId="213DAA56" w:rsidR="002B493E" w:rsidRDefault="002B493E" w:rsidP="002B49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mentoring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mentor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>.</w:t>
      </w:r>
    </w:p>
    <w:p w14:paraId="404E13E7" w14:textId="19D2D917" w:rsidR="0074591C" w:rsidRPr="0074591C" w:rsidRDefault="0074591C" w:rsidP="0074591C">
      <w:pPr>
        <w:jc w:val="both"/>
        <w:rPr>
          <w:rFonts w:ascii="Times New Roman" w:hAnsi="Times New Roman" w:cs="Times New Roman"/>
          <w:sz w:val="28"/>
          <w:szCs w:val="28"/>
        </w:rPr>
      </w:pPr>
      <w:r w:rsidRPr="0074591C">
        <w:rPr>
          <w:rFonts w:ascii="Times New Roman" w:hAnsi="Times New Roman" w:cs="Times New Roman"/>
          <w:sz w:val="28"/>
          <w:szCs w:val="28"/>
        </w:rPr>
        <w:t>4. Ch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iến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91C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74591C">
        <w:rPr>
          <w:rFonts w:ascii="Times New Roman" w:hAnsi="Times New Roman" w:cs="Times New Roman"/>
          <w:sz w:val="28"/>
          <w:szCs w:val="28"/>
        </w:rPr>
        <w:t xml:space="preserve"> CĐS HTX Việt Nam</w:t>
      </w:r>
    </w:p>
    <w:p w14:paraId="6E351908" w14:textId="77777777" w:rsidR="002B493E" w:rsidRPr="002B493E" w:rsidRDefault="002B493E" w:rsidP="002B49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>:</w:t>
      </w:r>
    </w:p>
    <w:p w14:paraId="060E3F32" w14:textId="5665EE5C" w:rsidR="002B493E" w:rsidRPr="002B493E" w:rsidRDefault="002B493E" w:rsidP="002B493E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493E">
        <w:rPr>
          <w:rFonts w:ascii="Times New Roman" w:hAnsi="Times New Roman" w:cs="Times New Roman"/>
          <w:sz w:val="28"/>
          <w:szCs w:val="28"/>
        </w:rPr>
        <w:t xml:space="preserve">Liên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neo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nhìn</w:t>
      </w:r>
      <w:proofErr w:type="spellEnd"/>
    </w:p>
    <w:p w14:paraId="6EA35632" w14:textId="77777777" w:rsidR="002B493E" w:rsidRDefault="002B493E" w:rsidP="002B493E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93E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>)</w:t>
      </w:r>
    </w:p>
    <w:p w14:paraId="38709DDF" w14:textId="60606F86" w:rsidR="002B493E" w:rsidRPr="002B493E" w:rsidRDefault="002B493E" w:rsidP="002B493E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93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93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2B493E">
        <w:rPr>
          <w:rFonts w:ascii="Times New Roman" w:hAnsi="Times New Roman" w:cs="Times New Roman"/>
          <w:sz w:val="28"/>
          <w:szCs w:val="28"/>
        </w:rPr>
        <w:t>.</w:t>
      </w:r>
    </w:p>
    <w:p w14:paraId="4D5BB44C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Việt Nam (VCA), Halieus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p w14:paraId="5220AE09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HTX.</w:t>
      </w:r>
    </w:p>
    <w:p w14:paraId="4AC174B9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t xml:space="preserve">Định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lượcbao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sứ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chatbot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p w14:paraId="7AA7B4CC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dung chi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</w:p>
    <w:p w14:paraId="0ECFDCEA" w14:textId="5E1B1C5E" w:rsidR="0002000D" w:rsidRPr="0002000D" w:rsidRDefault="0002000D" w:rsidP="0002000D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lastRenderedPageBreak/>
        <w:t xml:space="preserve"> Liên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neo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</w:p>
    <w:p w14:paraId="575AB893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t xml:space="preserve">Liên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Việt Nam (VCA)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nòng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neo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Liên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KPI.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Liên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Liên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p w14:paraId="4E67C8C0" w14:textId="66282D87" w:rsidR="0002000D" w:rsidRPr="0002000D" w:rsidRDefault="0002000D" w:rsidP="0002000D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t xml:space="preserve">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</w:p>
    <w:p w14:paraId="7E8D566C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chatbot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HTX. Trong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“no-code”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“low-code”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HTX. Trong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p w14:paraId="0F3963ED" w14:textId="2348AF50" w:rsidR="0002000D" w:rsidRPr="0002000D" w:rsidRDefault="0002000D" w:rsidP="0002000D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chung</w:t>
      </w:r>
      <w:proofErr w:type="spellEnd"/>
    </w:p>
    <w:p w14:paraId="27BB23C9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(HTX)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lastRenderedPageBreak/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ERP, CRM,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no-code/low-code,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p w14:paraId="2E1D0120" w14:textId="77777777" w:rsid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“sandbox” –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HTX. Qua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p w14:paraId="143D0B16" w14:textId="0D3BA868" w:rsidR="0074591C" w:rsidRPr="0002000D" w:rsidRDefault="0074591C" w:rsidP="0002000D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t xml:space="preserve">Giai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khai</w:t>
      </w:r>
      <w:proofErr w:type="spellEnd"/>
    </w:p>
    <w:p w14:paraId="1D4B69EF" w14:textId="571573FA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12BBFC7" w14:textId="5FA6DC8B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14:paraId="366919D9" w14:textId="16F93ED6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“sandbox”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nghiệm</w:t>
      </w:r>
      <w:proofErr w:type="spellEnd"/>
    </w:p>
    <w:p w14:paraId="79116AAD" w14:textId="7E7FB2A2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chọn</w:t>
      </w:r>
      <w:proofErr w:type="spellEnd"/>
    </w:p>
    <w:p w14:paraId="2C366EAD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t xml:space="preserve">Trung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:</w:t>
      </w:r>
    </w:p>
    <w:p w14:paraId="3F40B831" w14:textId="68EE6A53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</w:t>
      </w:r>
    </w:p>
    <w:p w14:paraId="30E7055F" w14:textId="28A53115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</w:p>
    <w:p w14:paraId="29C5D1A0" w14:textId="7CFC6390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sứ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p w14:paraId="25079EE0" w14:textId="77777777" w:rsidR="0002000D" w:rsidRPr="0002000D" w:rsidRDefault="0002000D" w:rsidP="0002000D">
      <w:p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t xml:space="preserve">Dài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:</w:t>
      </w:r>
    </w:p>
    <w:p w14:paraId="3066B03F" w14:textId="724682D9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HTX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định</w:t>
      </w:r>
      <w:proofErr w:type="spellEnd"/>
    </w:p>
    <w:p w14:paraId="6E84358E" w14:textId="56D1762D" w:rsidR="0002000D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trình</w:t>
      </w:r>
      <w:proofErr w:type="spellEnd"/>
    </w:p>
    <w:p w14:paraId="732D1EC3" w14:textId="48479CF8" w:rsidR="00A41399" w:rsidRPr="0002000D" w:rsidRDefault="0002000D" w:rsidP="0002000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0D">
        <w:rPr>
          <w:rFonts w:ascii="Times New Roman" w:hAnsi="Times New Roman" w:cs="Times New Roman"/>
          <w:sz w:val="28"/>
          <w:szCs w:val="28"/>
        </w:rPr>
        <w:t>Duy trì v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00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2000D">
        <w:rPr>
          <w:rFonts w:ascii="Times New Roman" w:hAnsi="Times New Roman" w:cs="Times New Roman"/>
          <w:sz w:val="28"/>
          <w:szCs w:val="28"/>
        </w:rPr>
        <w:t>.</w:t>
      </w:r>
    </w:p>
    <w:sectPr w:rsidR="00A41399" w:rsidRPr="0002000D" w:rsidSect="00520375">
      <w:pgSz w:w="11906" w:h="16838" w:code="9"/>
      <w:pgMar w:top="113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E0B"/>
    <w:multiLevelType w:val="hybridMultilevel"/>
    <w:tmpl w:val="18107018"/>
    <w:lvl w:ilvl="0" w:tplc="FD60DA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7B2B"/>
    <w:multiLevelType w:val="hybridMultilevel"/>
    <w:tmpl w:val="03D203E0"/>
    <w:lvl w:ilvl="0" w:tplc="3016389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3D0981"/>
    <w:multiLevelType w:val="hybridMultilevel"/>
    <w:tmpl w:val="51BE56E2"/>
    <w:lvl w:ilvl="0" w:tplc="9C6C541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52213">
    <w:abstractNumId w:val="2"/>
  </w:num>
  <w:num w:numId="2" w16cid:durableId="101464004">
    <w:abstractNumId w:val="1"/>
  </w:num>
  <w:num w:numId="3" w16cid:durableId="158402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C2"/>
    <w:rsid w:val="0002000D"/>
    <w:rsid w:val="0017469C"/>
    <w:rsid w:val="00216C4C"/>
    <w:rsid w:val="002B493E"/>
    <w:rsid w:val="00520375"/>
    <w:rsid w:val="0074591C"/>
    <w:rsid w:val="00755B8B"/>
    <w:rsid w:val="007E0502"/>
    <w:rsid w:val="008353C2"/>
    <w:rsid w:val="009D7F18"/>
    <w:rsid w:val="00A41399"/>
    <w:rsid w:val="00D01F18"/>
    <w:rsid w:val="00D8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D8B"/>
  <w15:chartTrackingRefBased/>
  <w15:docId w15:val="{E74C9F74-EEBE-4339-A510-D79EF3FE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3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3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35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3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35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3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3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3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3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35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35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35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353C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353C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353C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353C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353C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353C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3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3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3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3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3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353C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353C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353C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35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353C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353C2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rsid w:val="0021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</w:rPr>
  </w:style>
  <w:style w:type="character" w:styleId="Manh">
    <w:name w:val="Strong"/>
    <w:basedOn w:val="Phngmcinhcuaoanvn"/>
    <w:uiPriority w:val="22"/>
    <w:qFormat/>
    <w:rsid w:val="00A41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2025-07-03T07:28:00Z</dcterms:created>
  <dcterms:modified xsi:type="dcterms:W3CDTF">2025-07-03T08:36:00Z</dcterms:modified>
</cp:coreProperties>
</file>